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100" w:rsidRDefault="00E22100" w:rsidP="00E22100"/>
    <w:p w:rsidR="00E22100" w:rsidRPr="00E22100" w:rsidRDefault="00177781" w:rsidP="00E2210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Łomża, 03.02</w:t>
      </w:r>
      <w:r w:rsidR="00E22100" w:rsidRPr="00E22100">
        <w:rPr>
          <w:rFonts w:ascii="Times New Roman" w:hAnsi="Times New Roman" w:cs="Times New Roman"/>
          <w:sz w:val="24"/>
          <w:szCs w:val="24"/>
        </w:rPr>
        <w:t>.2020 r.</w:t>
      </w:r>
    </w:p>
    <w:p w:rsidR="00492673" w:rsidRPr="00177781" w:rsidRDefault="00E22100" w:rsidP="003F535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77781">
        <w:rPr>
          <w:rFonts w:ascii="Times New Roman" w:hAnsi="Times New Roman" w:cs="Times New Roman"/>
          <w:b/>
          <w:sz w:val="32"/>
          <w:szCs w:val="32"/>
        </w:rPr>
        <w:t>Konsultacje społeczne</w:t>
      </w:r>
      <w:r w:rsidR="003F5359" w:rsidRPr="00177781">
        <w:rPr>
          <w:rFonts w:ascii="Times New Roman" w:hAnsi="Times New Roman" w:cs="Times New Roman"/>
          <w:b/>
          <w:sz w:val="32"/>
          <w:szCs w:val="32"/>
        </w:rPr>
        <w:t xml:space="preserve"> do</w:t>
      </w:r>
      <w:r w:rsidRPr="00177781">
        <w:rPr>
          <w:rFonts w:ascii="Times New Roman" w:hAnsi="Times New Roman" w:cs="Times New Roman"/>
          <w:b/>
          <w:sz w:val="32"/>
          <w:szCs w:val="32"/>
        </w:rPr>
        <w:t xml:space="preserve"> zmian w Loka</w:t>
      </w:r>
      <w:r w:rsidR="00177781">
        <w:rPr>
          <w:rFonts w:ascii="Times New Roman" w:hAnsi="Times New Roman" w:cs="Times New Roman"/>
          <w:b/>
          <w:sz w:val="32"/>
          <w:szCs w:val="32"/>
        </w:rPr>
        <w:t>lnej Strategii Rozwoju z dnia 03.02</w:t>
      </w:r>
      <w:r w:rsidRPr="00177781">
        <w:rPr>
          <w:rFonts w:ascii="Times New Roman" w:hAnsi="Times New Roman" w:cs="Times New Roman"/>
          <w:b/>
          <w:sz w:val="32"/>
          <w:szCs w:val="32"/>
        </w:rPr>
        <w:t>.2020r.</w:t>
      </w:r>
    </w:p>
    <w:p w:rsidR="004E2B85" w:rsidRDefault="004E2B85" w:rsidP="004E2B85">
      <w:pPr>
        <w:jc w:val="both"/>
      </w:pPr>
      <w:r>
        <w:t>Stowarzyszenie „</w:t>
      </w:r>
      <w:r w:rsidR="00D1408B">
        <w:t>Sąsiedzi</w:t>
      </w:r>
      <w:r>
        <w:t xml:space="preserve">” 9 stycznia 2020 r. zostało poinformowane, iż osiągnęło poziom co najmniej 65% wartości zawartych umów o przyznanie pomocy w ramach </w:t>
      </w:r>
      <w:proofErr w:type="spellStart"/>
      <w:r w:rsidR="00177781">
        <w:t>poddziałania</w:t>
      </w:r>
      <w:proofErr w:type="spellEnd"/>
      <w:r w:rsidR="00177781">
        <w:t xml:space="preserve"> 19.2 w stosunku do </w:t>
      </w:r>
      <w:r>
        <w:t xml:space="preserve">limitu wskazanego na to </w:t>
      </w:r>
      <w:proofErr w:type="spellStart"/>
      <w:r>
        <w:t>poddziałanie</w:t>
      </w:r>
      <w:proofErr w:type="spellEnd"/>
      <w:r>
        <w:t xml:space="preserve"> w umowie ramowej. W związku z powyższym LGD może wnioskować o dodatkowe środki na wdrażanie LSR, na</w:t>
      </w:r>
      <w:r w:rsidR="00177781">
        <w:t xml:space="preserve"> zasadach zawartych w piśmie nr </w:t>
      </w:r>
      <w:r>
        <w:t>ROW.wrt.510.169.2019 Ministra Rolnictwa i Rozwoju Ws</w:t>
      </w:r>
      <w:r w:rsidR="00177781">
        <w:t>i z dnia 31.12.2019 r. (pismo w </w:t>
      </w:r>
      <w:r>
        <w:t xml:space="preserve">załączeniu). Zarząd </w:t>
      </w:r>
      <w:r w:rsidR="00D1408B">
        <w:t>Stowarzyszenia „Sąsiedzi</w:t>
      </w:r>
      <w:r>
        <w:t xml:space="preserve">” podjął decyzję, iż jest to ogromna szansa dla mieszkańców obszaru LGD na dodatkowe środki, a co się z tym wiąże nabory. W skali całego budżetu LSR środki na 19.2 zwiększone mogą być o 10% , co daje kwotę </w:t>
      </w:r>
      <w:r w:rsidR="00D1408B">
        <w:t>470.000,00</w:t>
      </w:r>
      <w:r>
        <w:t xml:space="preserve"> zł.</w:t>
      </w:r>
    </w:p>
    <w:p w:rsidR="00D1408B" w:rsidRDefault="00953835" w:rsidP="004E2B85">
      <w:pPr>
        <w:jc w:val="both"/>
      </w:pPr>
      <w:r>
        <w:t>W</w:t>
      </w:r>
      <w:r w:rsidR="00D1408B">
        <w:t xml:space="preserve"> ramach</w:t>
      </w:r>
      <w:r>
        <w:t xml:space="preserve"> </w:t>
      </w:r>
      <w:r w:rsidR="00D1408B">
        <w:t xml:space="preserve">przedsięwzięć: </w:t>
      </w:r>
    </w:p>
    <w:p w:rsidR="00D1408B" w:rsidRDefault="00D1408B" w:rsidP="004E2B85">
      <w:pPr>
        <w:jc w:val="both"/>
      </w:pPr>
      <w:r>
        <w:t xml:space="preserve">1) 2.1.2. – Rewitalizacja małej skali </w:t>
      </w:r>
      <w:r w:rsidR="00953835">
        <w:t xml:space="preserve">- </w:t>
      </w:r>
      <w:r>
        <w:t>zostały oszczędności - 476,42 zł.</w:t>
      </w:r>
    </w:p>
    <w:p w:rsidR="00D1408B" w:rsidRDefault="00953835" w:rsidP="004E2B85">
      <w:pPr>
        <w:jc w:val="both"/>
      </w:pPr>
      <w:r>
        <w:t xml:space="preserve">2) </w:t>
      </w:r>
      <w:r w:rsidR="00D1408B">
        <w:t>2.1.3. Inwestycje kierunkowe w zakresie funkcji turystycznych i kulturalnych obiektów</w:t>
      </w:r>
      <w:r w:rsidR="00177781">
        <w:t xml:space="preserve">                                 </w:t>
      </w:r>
      <w:r w:rsidR="00D1408B">
        <w:t xml:space="preserve"> z wyłączeniem funkcji jedynie sakralnej  - zostały oszczędności – 29 153,93 zł. </w:t>
      </w:r>
    </w:p>
    <w:p w:rsidR="00D1408B" w:rsidRDefault="00953835" w:rsidP="004E2B85">
      <w:pPr>
        <w:jc w:val="both"/>
      </w:pPr>
      <w:r>
        <w:t xml:space="preserve">- zostały osiągnięte wszystkie zaplanowane wskaźniki. </w:t>
      </w:r>
      <w:r w:rsidR="00D1408B">
        <w:t xml:space="preserve">Łączna suma oszczędności wynosi </w:t>
      </w:r>
      <w:r w:rsidR="002E2537">
        <w:t>29 630,35</w:t>
      </w:r>
      <w:r w:rsidR="00D1408B">
        <w:t xml:space="preserve"> zł.</w:t>
      </w:r>
    </w:p>
    <w:p w:rsidR="00953835" w:rsidRDefault="00953835" w:rsidP="004E2B85">
      <w:pPr>
        <w:jc w:val="both"/>
      </w:pPr>
      <w:r>
        <w:t xml:space="preserve">W ramach celu ogólnego III, celu szczegółowego 3.1, przedsięwzięcia 3.1.1 zostały wprowadzone nowe wskaźniki produktu dotyczące kosztów bieżących. </w:t>
      </w:r>
    </w:p>
    <w:p w:rsidR="00C26E3F" w:rsidRDefault="00C26E3F" w:rsidP="004E2B85">
      <w:pPr>
        <w:jc w:val="both"/>
      </w:pPr>
      <w:r>
        <w:t xml:space="preserve">W ramach celu ogólnego I, celu szczegółowego 1.1, przedsięwzięcia 1.1.2 zostały zwiększone </w:t>
      </w:r>
      <w:r w:rsidR="001358C6">
        <w:t>środki oraz wskaźnik</w:t>
      </w:r>
      <w:r>
        <w:t xml:space="preserve"> produktu i rezultatu, zaś w tym samym celu ogólnym, celu szczegółowym 1.2, przedsięwzięciu 1.2.2 zostało wykreślone Działanie 9.1 Typ operacji 9.</w:t>
      </w:r>
    </w:p>
    <w:p w:rsidR="002E2537" w:rsidRPr="00177781" w:rsidRDefault="002E2537" w:rsidP="004E2B85">
      <w:pPr>
        <w:jc w:val="both"/>
        <w:rPr>
          <w:sz w:val="28"/>
          <w:szCs w:val="28"/>
        </w:rPr>
      </w:pPr>
    </w:p>
    <w:p w:rsidR="002E2537" w:rsidRPr="00177781" w:rsidRDefault="00D1408B" w:rsidP="002E2537">
      <w:pPr>
        <w:jc w:val="center"/>
        <w:rPr>
          <w:b/>
          <w:sz w:val="28"/>
          <w:szCs w:val="28"/>
        </w:rPr>
      </w:pPr>
      <w:r w:rsidRPr="00177781">
        <w:rPr>
          <w:b/>
          <w:sz w:val="28"/>
          <w:szCs w:val="28"/>
        </w:rPr>
        <w:t xml:space="preserve">Uzasadnienie </w:t>
      </w:r>
      <w:r w:rsidR="00177781" w:rsidRPr="00177781">
        <w:rPr>
          <w:b/>
          <w:sz w:val="28"/>
          <w:szCs w:val="28"/>
        </w:rPr>
        <w:t>:</w:t>
      </w:r>
    </w:p>
    <w:p w:rsidR="002E2537" w:rsidRPr="002E2537" w:rsidRDefault="002E2537" w:rsidP="002E2537">
      <w:pPr>
        <w:jc w:val="center"/>
        <w:rPr>
          <w:b/>
        </w:rPr>
      </w:pPr>
    </w:p>
    <w:p w:rsidR="002E2537" w:rsidRPr="00177781" w:rsidRDefault="00177781" w:rsidP="003F5359">
      <w:pPr>
        <w:jc w:val="both"/>
        <w:rPr>
          <w:b/>
        </w:rPr>
      </w:pPr>
      <w:r>
        <w:rPr>
          <w:b/>
        </w:rPr>
        <w:t xml:space="preserve">- </w:t>
      </w:r>
      <w:r w:rsidR="00D1408B" w:rsidRPr="00177781">
        <w:rPr>
          <w:b/>
        </w:rPr>
        <w:t>Dodatkowe środki.</w:t>
      </w:r>
    </w:p>
    <w:p w:rsidR="002E2537" w:rsidRDefault="00D1408B" w:rsidP="002E2537">
      <w:pPr>
        <w:ind w:left="30"/>
        <w:jc w:val="both"/>
      </w:pPr>
      <w:r>
        <w:t xml:space="preserve"> Po przeanalizowaniu dotychczasowych naborów wniosków w ramach LSR 2014 – 2020 największym zainteresowanie</w:t>
      </w:r>
      <w:r w:rsidR="002E2537">
        <w:t>m cieszyło się podejmowanie działalności gospodarczej (przedsięwzięcie 1</w:t>
      </w:r>
      <w:r>
        <w:t xml:space="preserve">.1.1. </w:t>
      </w:r>
      <w:r w:rsidR="002E2537">
        <w:t>Wsparcie przedsiębiorczości – nowe miejsca pracy).</w:t>
      </w:r>
    </w:p>
    <w:p w:rsidR="00EA34DF" w:rsidRDefault="00D1408B" w:rsidP="008040F2">
      <w:pPr>
        <w:jc w:val="both"/>
      </w:pPr>
      <w:r>
        <w:t xml:space="preserve"> Od początku wdrażania z podejmowania działalnoś</w:t>
      </w:r>
      <w:r w:rsidR="002E2537">
        <w:t>ci gospodarczej były 3 nabory</w:t>
      </w:r>
      <w:r>
        <w:t xml:space="preserve">, w ramach których złożono </w:t>
      </w:r>
      <w:r w:rsidR="002E2537">
        <w:t>38 wnio</w:t>
      </w:r>
      <w:r w:rsidR="008040F2">
        <w:t>sków, z czego wybrano 36 wniosków, niewybrany został</w:t>
      </w:r>
      <w:r w:rsidR="002E2537">
        <w:t xml:space="preserve"> 1 </w:t>
      </w:r>
      <w:r w:rsidR="008040F2">
        <w:t xml:space="preserve">wniosek </w:t>
      </w:r>
      <w:r w:rsidR="002E2537">
        <w:t xml:space="preserve">oraz wycofany </w:t>
      </w:r>
      <w:r w:rsidR="002E2537">
        <w:lastRenderedPageBreak/>
        <w:t xml:space="preserve">został </w:t>
      </w:r>
      <w:r w:rsidR="008040F2">
        <w:t xml:space="preserve">również </w:t>
      </w:r>
      <w:r w:rsidR="002E2537">
        <w:t>1</w:t>
      </w:r>
      <w:r>
        <w:t xml:space="preserve">. W limicie środków na podejmowanie działalności gospodarczej zmieściło się </w:t>
      </w:r>
      <w:r w:rsidR="00EA34DF">
        <w:t>30</w:t>
      </w:r>
      <w:r>
        <w:t xml:space="preserve"> wniosków, każdy beneficjent otrzymał </w:t>
      </w:r>
      <w:r w:rsidR="00EA34DF">
        <w:t>70 000,00</w:t>
      </w:r>
      <w:r>
        <w:t xml:space="preserve"> zł. </w:t>
      </w:r>
    </w:p>
    <w:p w:rsidR="00B434AD" w:rsidRDefault="00B434AD" w:rsidP="002E2537">
      <w:pPr>
        <w:ind w:left="30"/>
        <w:jc w:val="both"/>
      </w:pPr>
      <w:r>
        <w:t xml:space="preserve">Szczególnym zainteresowaniem cieszą się nabory wniosków na podejmowanie działalności gospodarczej. </w:t>
      </w:r>
      <w:r w:rsidR="00D1408B">
        <w:t xml:space="preserve">Porównując ilość złożonych wniosków, tym samym osoby zainteresowane podejmowaniem </w:t>
      </w:r>
      <w:r w:rsidR="008040F2">
        <w:t xml:space="preserve">działalności gospodarczej </w:t>
      </w:r>
      <w:r w:rsidR="00D1408B">
        <w:t xml:space="preserve">do budżetu LGD na przedsiębiorczość, widzimy olbrzymią dysproporcję tj. zbyt niską pulę środków do zapotrzebowania. </w:t>
      </w:r>
    </w:p>
    <w:p w:rsidR="00B434AD" w:rsidRDefault="00D1408B" w:rsidP="00B434AD">
      <w:pPr>
        <w:jc w:val="both"/>
      </w:pPr>
      <w:r>
        <w:t xml:space="preserve">W związku z tym proponujemy zwiększyć limit o </w:t>
      </w:r>
      <w:r w:rsidR="00B434AD">
        <w:t>470.000,00</w:t>
      </w:r>
      <w:r>
        <w:t xml:space="preserve"> zł</w:t>
      </w:r>
      <w:r w:rsidR="00B434AD">
        <w:t>.</w:t>
      </w:r>
      <w:r>
        <w:t xml:space="preserve"> (z dodatkowych środków),co dałoby kwotę </w:t>
      </w:r>
      <w:r w:rsidR="00B434AD">
        <w:t xml:space="preserve">559.104,00 zł. Nabór zostanie ogłoszony na kwotę 540.000,00 zł. przy utworzeniu 9 nowych działalności gospodarczych, min. 9 nowych miejsc pracy. </w:t>
      </w:r>
    </w:p>
    <w:p w:rsidR="003448E6" w:rsidRDefault="00D1408B" w:rsidP="004E2B85">
      <w:pPr>
        <w:jc w:val="both"/>
      </w:pPr>
      <w:r>
        <w:t xml:space="preserve">Propozycja zmiany </w:t>
      </w:r>
      <w:r w:rsidR="00177781">
        <w:t>wynika z diagnozy obszaru</w:t>
      </w:r>
      <w:r>
        <w:t xml:space="preserve"> w ramach LSR. Zaproponowana alokacja dodatkowych środków wynika z </w:t>
      </w:r>
      <w:r w:rsidR="003F5359">
        <w:t>punktu</w:t>
      </w:r>
      <w:r>
        <w:t xml:space="preserve"> 3.2</w:t>
      </w:r>
      <w:r w:rsidR="004D367B">
        <w:t>.2</w:t>
      </w:r>
      <w:r w:rsidR="003F5359" w:rsidRPr="003F5359">
        <w:t xml:space="preserve"> </w:t>
      </w:r>
      <w:r w:rsidR="003F5359">
        <w:t xml:space="preserve">diagnozy. W ramach przedsięwzięcia dotyczącego podejmowania działalności gospodarczej </w:t>
      </w:r>
      <w:r>
        <w:t>zainteresowanie wnioskodawców przekracza zawsze alokację. Należy podjąć starania</w:t>
      </w:r>
      <w:r w:rsidR="003F5359">
        <w:t>,</w:t>
      </w:r>
      <w:r>
        <w:t xml:space="preserve"> żeby dodatkowe środki przeznaczyć </w:t>
      </w:r>
      <w:r w:rsidR="003F5359">
        <w:t>na podejmowanie</w:t>
      </w:r>
      <w:r w:rsidR="00177781">
        <w:t xml:space="preserve"> działalności gospodarczej na </w:t>
      </w:r>
      <w:r>
        <w:t xml:space="preserve">terenie LGD. </w:t>
      </w:r>
    </w:p>
    <w:p w:rsidR="00183E30" w:rsidRPr="004D367B" w:rsidRDefault="00177781" w:rsidP="00177781">
      <w:pPr>
        <w:rPr>
          <w:b/>
        </w:rPr>
      </w:pPr>
      <w:r>
        <w:rPr>
          <w:b/>
        </w:rPr>
        <w:t xml:space="preserve">- </w:t>
      </w:r>
      <w:r w:rsidR="00D1408B" w:rsidRPr="004D367B">
        <w:rPr>
          <w:b/>
        </w:rPr>
        <w:t>Przesunięcie środków w Planie Działania</w:t>
      </w:r>
      <w:r w:rsidR="004D367B">
        <w:rPr>
          <w:b/>
        </w:rPr>
        <w:t xml:space="preserve"> i w zał. Nr 2 Harmonogram naborów wniosków…</w:t>
      </w:r>
      <w:r w:rsidR="00D1408B" w:rsidRPr="004D367B">
        <w:rPr>
          <w:b/>
        </w:rPr>
        <w:t>.</w:t>
      </w:r>
    </w:p>
    <w:p w:rsidR="00D1408B" w:rsidRDefault="00C26E3F" w:rsidP="004E2B85">
      <w:pPr>
        <w:jc w:val="both"/>
      </w:pPr>
      <w:r>
        <w:t>a)</w:t>
      </w:r>
      <w:r w:rsidR="00D1408B">
        <w:t xml:space="preserve"> Po przeanalizowaniu naborów największym </w:t>
      </w:r>
      <w:r w:rsidR="00183E30">
        <w:t>problemem, dotyczącym osiągnięcia wskaźników okazały się inwestycje z zakresu</w:t>
      </w:r>
      <w:r w:rsidR="00D1408B">
        <w:t xml:space="preserve"> infrastruktury </w:t>
      </w:r>
      <w:r w:rsidR="00183E30">
        <w:t>społecznej w przedsięwzięciu 2.1.4</w:t>
      </w:r>
      <w:r w:rsidR="00D1408B">
        <w:t xml:space="preserve">. W związku z wynikłymi oszczędnościami w przedsięwzięciach: </w:t>
      </w:r>
      <w:r w:rsidR="00183E30">
        <w:t>2.1.2. – Rewitalizacja małej skali oraz</w:t>
      </w:r>
      <w:r w:rsidR="00D1408B">
        <w:t xml:space="preserve"> </w:t>
      </w:r>
      <w:r w:rsidR="00183E30">
        <w:t>2.1.3. Inwestycje kierunkowe w zakresie funkcji turystycznych i kulturalnych obiektów z wyłączeniem funkcji jedynie sakralnej</w:t>
      </w:r>
      <w:r w:rsidR="00D1408B">
        <w:t>, proponuje się zwi</w:t>
      </w:r>
      <w:r w:rsidR="00183E30">
        <w:t>ększenie w przedsięwzięciu 2.1.4</w:t>
      </w:r>
      <w:r w:rsidR="00D1408B">
        <w:t xml:space="preserve"> </w:t>
      </w:r>
      <w:r w:rsidR="00183E30">
        <w:t>w kamieniu milowym 2022- 2023</w:t>
      </w:r>
      <w:r w:rsidR="00D1408B">
        <w:t xml:space="preserve"> oszczędności w kwocie </w:t>
      </w:r>
      <w:r w:rsidR="00183E30">
        <w:t xml:space="preserve">29 630,35 </w:t>
      </w:r>
      <w:r w:rsidR="00D1408B">
        <w:t>zł.</w:t>
      </w:r>
    </w:p>
    <w:p w:rsidR="00953835" w:rsidRDefault="00C26E3F" w:rsidP="004E2B85">
      <w:pPr>
        <w:jc w:val="both"/>
      </w:pPr>
      <w:r>
        <w:t xml:space="preserve">b) </w:t>
      </w:r>
      <w:r w:rsidR="00953835">
        <w:t xml:space="preserve">W Planie Działania nie były uwzględnione koszty bieżące, </w:t>
      </w:r>
      <w:r w:rsidR="007324C2">
        <w:t>które są wykazane w budżecie LSR. Dlatego też, żeby ujednolicić zapisy w LSR wprowadzono w Planie Działania wskaźniki dotyczące kosztów bieżących oraz zmniejszono środki z Aktywizacji na rzecz kosztów bieżących, w celu zrealizowania wprowadzonych wskaźników.</w:t>
      </w:r>
    </w:p>
    <w:p w:rsidR="00C26E3F" w:rsidRPr="00C26E3F" w:rsidRDefault="00C26E3F" w:rsidP="00C26E3F">
      <w:pPr>
        <w:shd w:val="clear" w:color="auto" w:fill="FFFFFF"/>
        <w:spacing w:after="0"/>
        <w:jc w:val="both"/>
        <w:textAlignment w:val="baseline"/>
        <w:rPr>
          <w:rFonts w:cstheme="minorHAnsi"/>
          <w:bCs/>
          <w:color w:val="000000" w:themeColor="text1"/>
          <w:shd w:val="clear" w:color="auto" w:fill="FFFFFF"/>
        </w:rPr>
      </w:pPr>
      <w:r>
        <w:rPr>
          <w:rFonts w:cstheme="minorHAnsi"/>
          <w:color w:val="000000" w:themeColor="text1"/>
        </w:rPr>
        <w:t xml:space="preserve">c) </w:t>
      </w:r>
      <w:r w:rsidRPr="00C26E3F">
        <w:rPr>
          <w:rFonts w:cstheme="minorHAnsi"/>
          <w:color w:val="000000" w:themeColor="text1"/>
        </w:rPr>
        <w:t xml:space="preserve">Lokalna Grupa Działania Stowarzyszenie „Sąsiedzi” nie jest w stanie zrealizować wskaźników </w:t>
      </w:r>
      <w:r w:rsidRPr="00C26E3F">
        <w:rPr>
          <w:rFonts w:cstheme="minorHAnsi"/>
          <w:color w:val="000000" w:themeColor="text1"/>
          <w:shd w:val="clear" w:color="auto" w:fill="FFFFFF"/>
        </w:rPr>
        <w:t xml:space="preserve">z Działania 9.1  </w:t>
      </w:r>
      <w:r w:rsidRPr="00C26E3F">
        <w:rPr>
          <w:rFonts w:cstheme="minorHAnsi"/>
          <w:color w:val="000000" w:themeColor="text1"/>
        </w:rPr>
        <w:t>Typu operacji nr 9</w:t>
      </w:r>
      <w:r>
        <w:rPr>
          <w:rFonts w:cstheme="minorHAnsi"/>
          <w:color w:val="000000" w:themeColor="text1"/>
        </w:rPr>
        <w:t xml:space="preserve">, </w:t>
      </w:r>
      <w:r w:rsidRPr="00C26E3F">
        <w:rPr>
          <w:rFonts w:cstheme="minorHAnsi"/>
          <w:color w:val="000000" w:themeColor="text1"/>
        </w:rPr>
        <w:t xml:space="preserve">ponieważ </w:t>
      </w:r>
      <w:r w:rsidRPr="00C26E3F">
        <w:rPr>
          <w:rFonts w:cstheme="minorHAnsi"/>
          <w:bCs/>
          <w:shd w:val="clear" w:color="auto" w:fill="FFFFFF"/>
        </w:rPr>
        <w:t xml:space="preserve"> </w:t>
      </w:r>
      <w:r w:rsidRPr="00C26E3F">
        <w:rPr>
          <w:rFonts w:cstheme="minorHAnsi"/>
          <w:bCs/>
          <w:color w:val="000000" w:themeColor="text1"/>
          <w:shd w:val="clear" w:color="auto" w:fill="FFFFFF"/>
        </w:rPr>
        <w:t>w terminie 27.11.2019- 11.12.2019 odbył się nabór wniosków o udzielenie wsparcia i </w:t>
      </w:r>
      <w:r w:rsidRPr="00C26E3F">
        <w:rPr>
          <w:rFonts w:eastAsia="Times New Roman" w:cstheme="minorHAnsi"/>
          <w:bCs/>
          <w:color w:val="000000" w:themeColor="text1"/>
          <w:lang w:eastAsia="pl-PL"/>
        </w:rPr>
        <w:t xml:space="preserve">pomimo wcześniejszego zainteresowania potencjalnych </w:t>
      </w:r>
      <w:r>
        <w:rPr>
          <w:rFonts w:eastAsia="Times New Roman" w:cstheme="minorHAnsi"/>
          <w:bCs/>
          <w:color w:val="000000" w:themeColor="text1"/>
          <w:lang w:eastAsia="pl-PL"/>
        </w:rPr>
        <w:t>wnioskodawców</w:t>
      </w:r>
      <w:r w:rsidRPr="00C26E3F">
        <w:rPr>
          <w:rFonts w:eastAsia="Times New Roman" w:cstheme="minorHAnsi"/>
          <w:bCs/>
          <w:color w:val="000000" w:themeColor="text1"/>
          <w:lang w:eastAsia="pl-PL"/>
        </w:rPr>
        <w:t xml:space="preserve"> ostatecznie w ramach przeprowadzonego  naboru  nie wpłynął ani jeden wniosek. Po zakończonym naborze wniosków zostały przeprowadzone rozmowy z potencjalnymi </w:t>
      </w:r>
      <w:r>
        <w:rPr>
          <w:rFonts w:eastAsia="Times New Roman" w:cstheme="minorHAnsi"/>
          <w:bCs/>
          <w:color w:val="000000" w:themeColor="text1"/>
          <w:lang w:eastAsia="pl-PL"/>
        </w:rPr>
        <w:t>wnioskodawcami</w:t>
      </w:r>
      <w:r w:rsidRPr="00C26E3F">
        <w:rPr>
          <w:rFonts w:eastAsia="Times New Roman" w:cstheme="minorHAnsi"/>
          <w:bCs/>
          <w:color w:val="000000" w:themeColor="text1"/>
          <w:lang w:eastAsia="pl-PL"/>
        </w:rPr>
        <w:t>, którzy ostatecznie nie są zainteresowani zakresem wsparcia z typu nr 9. Jedna z gmin zadeklarowała, iż będą składać wniosek do innych podmiotów natomiast inne gminy zrezygnowały z możliwości ubiegania się z tego rodzaju wsparcia.</w:t>
      </w:r>
    </w:p>
    <w:p w:rsidR="00C26E3F" w:rsidRPr="00C26E3F" w:rsidRDefault="00C26E3F" w:rsidP="00C26E3F">
      <w:pPr>
        <w:spacing w:after="0"/>
        <w:jc w:val="both"/>
        <w:rPr>
          <w:rFonts w:cstheme="minorHAnsi"/>
          <w:color w:val="000000" w:themeColor="text1"/>
          <w:shd w:val="clear" w:color="auto" w:fill="FFFFFF"/>
        </w:rPr>
      </w:pPr>
    </w:p>
    <w:p w:rsidR="00C26E3F" w:rsidRPr="00C26E3F" w:rsidRDefault="00C26E3F" w:rsidP="00C26E3F">
      <w:pPr>
        <w:shd w:val="clear" w:color="auto" w:fill="FFFFFF"/>
        <w:spacing w:after="0"/>
        <w:jc w:val="both"/>
        <w:rPr>
          <w:rFonts w:eastAsia="Times New Roman" w:cstheme="minorHAnsi"/>
          <w:b/>
          <w:bCs/>
          <w:color w:val="000000" w:themeColor="text1"/>
          <w:lang w:eastAsia="pl-PL"/>
        </w:rPr>
      </w:pPr>
      <w:r w:rsidRPr="00C26E3F">
        <w:rPr>
          <w:rFonts w:cstheme="minorHAnsi"/>
          <w:color w:val="000000" w:themeColor="text1"/>
        </w:rPr>
        <w:t xml:space="preserve">Zwiększenie wskaźników i środków w Działaniu 9.1 (Typ operacji 3) spowodowane jest  dużym zainteresowaniem potencjalnych wnioskodawców. </w:t>
      </w:r>
      <w:r w:rsidRPr="00C26E3F">
        <w:rPr>
          <w:rFonts w:eastAsia="Times New Roman" w:cstheme="minorHAnsi"/>
          <w:bCs/>
          <w:color w:val="000000" w:themeColor="text1"/>
          <w:lang w:eastAsia="pl-PL"/>
        </w:rPr>
        <w:t xml:space="preserve">W ramach naboru, który odbył się w terminie 20.11.2019-04.12.2019  wpłynęło 3 wnioski na łączną kwotę 1 401 267,82 gdzie alokacja w ramach </w:t>
      </w:r>
      <w:r w:rsidRPr="00C26E3F">
        <w:rPr>
          <w:rFonts w:eastAsia="Times New Roman" w:cstheme="minorHAnsi"/>
          <w:bCs/>
          <w:color w:val="000000" w:themeColor="text1"/>
          <w:lang w:eastAsia="pl-PL"/>
        </w:rPr>
        <w:lastRenderedPageBreak/>
        <w:t>naboru wynosiła 719 285,60 zł. W ramach typu projektu nr 3</w:t>
      </w:r>
      <w:r w:rsidRPr="00C26E3F">
        <w:rPr>
          <w:rFonts w:eastAsia="Times New Roman" w:cstheme="minorHAnsi"/>
          <w:color w:val="000000" w:themeColor="text1"/>
          <w:lang w:eastAsia="pl-PL"/>
        </w:rPr>
        <w:t xml:space="preserve">, który realizuje Cel ogólny I: Wzrost konkurencyjności gospodarczej obszaru LGD i wsparcie włączenia społecznego, Cel szczegółowy 1.1: Wsparcie przedsiębiorczości na obszarze LGD, PRZEDSIĘWZIĘCIE 1.1.2 : Tworzenie </w:t>
      </w:r>
      <w:proofErr w:type="spellStart"/>
      <w:r w:rsidRPr="00C26E3F">
        <w:rPr>
          <w:rFonts w:eastAsia="Times New Roman" w:cstheme="minorHAnsi"/>
          <w:color w:val="000000" w:themeColor="text1"/>
          <w:lang w:eastAsia="pl-PL"/>
        </w:rPr>
        <w:t>mikroprzedsiębiorstw</w:t>
      </w:r>
      <w:proofErr w:type="spellEnd"/>
      <w:r w:rsidRPr="00C26E3F">
        <w:rPr>
          <w:rFonts w:eastAsia="Times New Roman" w:cstheme="minorHAnsi"/>
          <w:color w:val="000000" w:themeColor="text1"/>
          <w:lang w:eastAsia="pl-PL"/>
        </w:rPr>
        <w:t xml:space="preserve"> (EFS),  LGD Stowarzyszenie „Sąsiedzi” zwiększyłoby </w:t>
      </w:r>
      <w:r w:rsidRPr="00C26E3F">
        <w:rPr>
          <w:rFonts w:cstheme="minorHAnsi"/>
          <w:bCs/>
          <w:color w:val="000000" w:themeColor="text1"/>
          <w:shd w:val="clear" w:color="auto" w:fill="FFFFFF"/>
        </w:rPr>
        <w:t>wskaźnik produktu: Liczba osób pozostających bez pracy, które otrzymały bezzwrotne środki na podjęcie działalności gospodarczej w programie o 10 os. i  wskaźnik rezultatu: Liczba utworzonych miejsc pracy w ramach udzielonych ze EFS środków na podjęcie działalności gospodarczej o 10 osób.</w:t>
      </w:r>
    </w:p>
    <w:p w:rsidR="00D1408B" w:rsidRPr="00C26E3F" w:rsidRDefault="00D1408B" w:rsidP="00C26E3F">
      <w:pPr>
        <w:jc w:val="both"/>
        <w:rPr>
          <w:rFonts w:cstheme="minorHAnsi"/>
          <w:b/>
        </w:rPr>
      </w:pPr>
    </w:p>
    <w:sectPr w:rsidR="00D1408B" w:rsidRPr="00C26E3F" w:rsidSect="0049267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195E" w:rsidRDefault="0073195E" w:rsidP="00E22100">
      <w:pPr>
        <w:spacing w:after="0" w:line="240" w:lineRule="auto"/>
      </w:pPr>
      <w:r>
        <w:separator/>
      </w:r>
    </w:p>
  </w:endnote>
  <w:endnote w:type="continuationSeparator" w:id="0">
    <w:p w:rsidR="0073195E" w:rsidRDefault="0073195E" w:rsidP="00E22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195E" w:rsidRDefault="0073195E" w:rsidP="00E22100">
      <w:pPr>
        <w:spacing w:after="0" w:line="240" w:lineRule="auto"/>
      </w:pPr>
      <w:r>
        <w:separator/>
      </w:r>
    </w:p>
  </w:footnote>
  <w:footnote w:type="continuationSeparator" w:id="0">
    <w:p w:rsidR="0073195E" w:rsidRDefault="0073195E" w:rsidP="00E221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100" w:rsidRDefault="00E22100" w:rsidP="00E22100">
    <w:pPr>
      <w:pStyle w:val="Nagwek"/>
    </w:pPr>
    <w:r>
      <w:rPr>
        <w:noProof/>
        <w:lang w:eastAsia="pl-PL"/>
      </w:rPr>
      <w:drawing>
        <wp:inline distT="0" distB="0" distL="0" distR="0">
          <wp:extent cx="1333500" cy="714375"/>
          <wp:effectExtent l="19050" t="0" r="0" b="0"/>
          <wp:docPr id="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714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</w:t>
    </w:r>
    <w:r>
      <w:rPr>
        <w:noProof/>
        <w:lang w:eastAsia="pl-PL"/>
      </w:rPr>
      <w:drawing>
        <wp:inline distT="0" distB="0" distL="0" distR="0">
          <wp:extent cx="666750" cy="752475"/>
          <wp:effectExtent l="19050" t="0" r="0" b="0"/>
          <wp:docPr id="6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</w:t>
    </w:r>
    <w:r>
      <w:rPr>
        <w:noProof/>
        <w:lang w:eastAsia="pl-PL"/>
      </w:rPr>
      <w:drawing>
        <wp:inline distT="0" distB="0" distL="0" distR="0">
          <wp:extent cx="1019175" cy="914400"/>
          <wp:effectExtent l="19050" t="0" r="9525" b="0"/>
          <wp:docPr id="7" name="Obraz 7" descr="Logo Sąsiedz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 descr="Logo Sąsiedzi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</w:t>
    </w:r>
    <w:r>
      <w:rPr>
        <w:noProof/>
        <w:lang w:eastAsia="pl-PL"/>
      </w:rPr>
      <w:drawing>
        <wp:inline distT="0" distB="0" distL="0" distR="0">
          <wp:extent cx="1095375" cy="876300"/>
          <wp:effectExtent l="19050" t="0" r="9525" b="0"/>
          <wp:docPr id="8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</w:t>
    </w:r>
  </w:p>
  <w:p w:rsidR="00E22100" w:rsidRPr="00E22100" w:rsidRDefault="00E22100" w:rsidP="00E22100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DF1230"/>
    <w:multiLevelType w:val="hybridMultilevel"/>
    <w:tmpl w:val="DDA244E0"/>
    <w:lvl w:ilvl="0" w:tplc="88362222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0" w:hanging="360"/>
      </w:pPr>
    </w:lvl>
    <w:lvl w:ilvl="2" w:tplc="0415001B" w:tentative="1">
      <w:start w:val="1"/>
      <w:numFmt w:val="lowerRoman"/>
      <w:lvlText w:val="%3."/>
      <w:lvlJc w:val="right"/>
      <w:pPr>
        <w:ind w:left="1830" w:hanging="180"/>
      </w:pPr>
    </w:lvl>
    <w:lvl w:ilvl="3" w:tplc="0415000F" w:tentative="1">
      <w:start w:val="1"/>
      <w:numFmt w:val="decimal"/>
      <w:lvlText w:val="%4."/>
      <w:lvlJc w:val="left"/>
      <w:pPr>
        <w:ind w:left="2550" w:hanging="360"/>
      </w:pPr>
    </w:lvl>
    <w:lvl w:ilvl="4" w:tplc="04150019" w:tentative="1">
      <w:start w:val="1"/>
      <w:numFmt w:val="lowerLetter"/>
      <w:lvlText w:val="%5."/>
      <w:lvlJc w:val="left"/>
      <w:pPr>
        <w:ind w:left="3270" w:hanging="360"/>
      </w:pPr>
    </w:lvl>
    <w:lvl w:ilvl="5" w:tplc="0415001B" w:tentative="1">
      <w:start w:val="1"/>
      <w:numFmt w:val="lowerRoman"/>
      <w:lvlText w:val="%6."/>
      <w:lvlJc w:val="right"/>
      <w:pPr>
        <w:ind w:left="3990" w:hanging="180"/>
      </w:pPr>
    </w:lvl>
    <w:lvl w:ilvl="6" w:tplc="0415000F" w:tentative="1">
      <w:start w:val="1"/>
      <w:numFmt w:val="decimal"/>
      <w:lvlText w:val="%7."/>
      <w:lvlJc w:val="left"/>
      <w:pPr>
        <w:ind w:left="4710" w:hanging="360"/>
      </w:pPr>
    </w:lvl>
    <w:lvl w:ilvl="7" w:tplc="04150019" w:tentative="1">
      <w:start w:val="1"/>
      <w:numFmt w:val="lowerLetter"/>
      <w:lvlText w:val="%8."/>
      <w:lvlJc w:val="left"/>
      <w:pPr>
        <w:ind w:left="5430" w:hanging="360"/>
      </w:pPr>
    </w:lvl>
    <w:lvl w:ilvl="8" w:tplc="0415001B" w:tentative="1">
      <w:start w:val="1"/>
      <w:numFmt w:val="lowerRoman"/>
      <w:lvlText w:val="%9."/>
      <w:lvlJc w:val="right"/>
      <w:pPr>
        <w:ind w:left="615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100"/>
    <w:rsid w:val="001358C6"/>
    <w:rsid w:val="00177781"/>
    <w:rsid w:val="00183E30"/>
    <w:rsid w:val="002D6B41"/>
    <w:rsid w:val="002E2537"/>
    <w:rsid w:val="003448E6"/>
    <w:rsid w:val="00385856"/>
    <w:rsid w:val="003F5359"/>
    <w:rsid w:val="00492673"/>
    <w:rsid w:val="004D367B"/>
    <w:rsid w:val="004E2B85"/>
    <w:rsid w:val="006638C7"/>
    <w:rsid w:val="0073195E"/>
    <w:rsid w:val="007324C2"/>
    <w:rsid w:val="008040F2"/>
    <w:rsid w:val="00953835"/>
    <w:rsid w:val="00B434AD"/>
    <w:rsid w:val="00C26E3F"/>
    <w:rsid w:val="00D1408B"/>
    <w:rsid w:val="00E22100"/>
    <w:rsid w:val="00EA34DF"/>
    <w:rsid w:val="00EF4E66"/>
    <w:rsid w:val="00F042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9267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E22100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E22100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100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semiHidden/>
    <w:unhideWhenUsed/>
    <w:rsid w:val="00E221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22100"/>
  </w:style>
  <w:style w:type="paragraph" w:styleId="Akapitzlist">
    <w:name w:val="List Paragraph"/>
    <w:basedOn w:val="Normalny"/>
    <w:uiPriority w:val="34"/>
    <w:qFormat/>
    <w:rsid w:val="002E25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3</Pages>
  <Words>814</Words>
  <Characters>4888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</cp:revision>
  <cp:lastPrinted>2020-02-03T12:32:00Z</cp:lastPrinted>
  <dcterms:created xsi:type="dcterms:W3CDTF">2020-01-31T09:24:00Z</dcterms:created>
  <dcterms:modified xsi:type="dcterms:W3CDTF">2020-02-03T12:32:00Z</dcterms:modified>
</cp:coreProperties>
</file>